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right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right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10300" cy="828675"/>
            <wp:effectExtent l="0" t="0" r="0" b="0"/>
            <wp:wrapSquare wrapText="largest"/>
            <wp:docPr id="1" name="Immagin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76"/>
        <w:jc w:val="right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ALLEGATO 9.B - 2</w:t>
      </w:r>
    </w:p>
    <w:p>
      <w:pPr>
        <w:pStyle w:val="Normal"/>
        <w:spacing w:lineRule="auto" w:line="276"/>
        <w:jc w:val="right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right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X     FASE </w:t>
      </w:r>
      <w:r>
        <w:rPr>
          <w:rFonts w:ascii="Garamond" w:hAnsi="Garamond"/>
          <w:b/>
          <w:bCs/>
          <w:i/>
          <w:iCs/>
          <w:color w:val="1F3864" w:themeColor="accent1" w:themeShade="80"/>
          <w:sz w:val="24"/>
          <w:szCs w:val="24"/>
        </w:rPr>
        <w:t>EX ANTE</w:t>
      </w:r>
    </w:p>
    <w:p>
      <w:pPr>
        <w:pStyle w:val="Normal"/>
        <w:spacing w:lineRule="auto" w:line="276"/>
        <w:jc w:val="right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□      </w:t>
      </w: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FASE </w:t>
      </w:r>
      <w:r>
        <w:rPr>
          <w:rFonts w:ascii="Garamond" w:hAnsi="Garamond"/>
          <w:b/>
          <w:bCs/>
          <w:i/>
          <w:iCs/>
          <w:color w:val="1F3864" w:themeColor="accent1" w:themeShade="80"/>
          <w:sz w:val="24"/>
          <w:szCs w:val="24"/>
        </w:rPr>
        <w:t>EX POST</w:t>
      </w:r>
    </w:p>
    <w:p>
      <w:pPr>
        <w:pStyle w:val="Normal"/>
        <w:spacing w:lineRule="auto" w:line="276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MODELLO DICHIARAZIONE DNSH</w:t>
      </w:r>
    </w:p>
    <w:p>
      <w:pPr>
        <w:pStyle w:val="Normal"/>
        <w:spacing w:lineRule="auto" w:line="276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(Artt. 46 e 47 D.P.R. 28 dicembre 2000, n. 445)</w:t>
      </w:r>
    </w:p>
    <w:p>
      <w:pPr>
        <w:pStyle w:val="Normal"/>
        <w:spacing w:lineRule="auto" w:line="276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PER LA PRESENTAZIONE DI PROPOSTE DI INTERVENTO DA FINANZIARE NELL’AMBITO DEL PNRR, MISSIONE 5 “INCLUSIONE E COESIONE” DEL PIANO NAZIONALE RIPRESA E RESILIENZA (PNRR), </w:t>
      </w:r>
      <w:r>
        <w:rPr>
          <w:rFonts w:ascii="Times New Roman" w:hAnsi="Times New Roman"/>
          <w:b/>
          <w:color w:val="1F3864" w:themeColor="accent1" w:themeShade="80"/>
          <w:sz w:val="24"/>
          <w:szCs w:val="24"/>
        </w:rPr>
        <w:t xml:space="preserve"> COMPONENTE 2 -SOTTOCOMPONENTE 1- INVESTIMENTO 1.1.- SUBIINVESTIMENTO 1.1.3 “RAFFORZARE I SERVIZI SOCIALI DOMICILIARI PER GARANTIRE UNA DIMISSIONE ASSISTITA PRECOCE E PREVENIRE IL RICOVERO IN OSPEDALE -CUP E34H22000360006</w:t>
      </w:r>
    </w:p>
    <w:p>
      <w:pPr>
        <w:pStyle w:val="Normal"/>
        <w:spacing w:lineRule="auto" w:line="276"/>
        <w:jc w:val="both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 xml:space="preserve">Il\La sottoscritto\a______________________________ nato\a ________________il______, CF </w:t>
      </w:r>
      <w:r>
        <w:rPr>
          <w:rFonts w:ascii="Garamond" w:hAnsi="Garamond"/>
          <w:color w:val="1F3864" w:themeColor="accent1" w:themeShade="80"/>
          <w:sz w:val="24"/>
          <w:szCs w:val="24"/>
          <w:u w:val="single"/>
        </w:rPr>
        <w:t>___________________</w:t>
      </w:r>
      <w:r>
        <w:rPr>
          <w:rFonts w:ascii="Garamond" w:hAnsi="Garamond"/>
          <w:color w:val="1F3864" w:themeColor="accent1" w:themeShade="80"/>
          <w:sz w:val="24"/>
          <w:szCs w:val="24"/>
        </w:rPr>
        <w:t>, Legale rappresentante dell’Ente _________________________________________, con sede legale in Via/Piazza _____________________________________________n. _____ , CAP _________, posta elettronica certificata (PEC) ___________________________;</w:t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PREMESSO CHE</w:t>
      </w:r>
    </w:p>
    <w:p>
      <w:pPr>
        <w:pStyle w:val="Normal"/>
        <w:spacing w:lineRule="auto" w:line="276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L’intervento denominato:</w:t>
      </w: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PNRR, MISSIONE 5 “INCLUSIONE E COESIONE” DEL PIANO NAZIONALE RIPRESA E RESILIENZA (PNRR), </w:t>
      </w:r>
      <w:r>
        <w:rPr>
          <w:rFonts w:ascii="Times New Roman" w:hAnsi="Times New Roman"/>
          <w:b/>
          <w:color w:val="1F3864" w:themeColor="accent1" w:themeShade="80"/>
          <w:sz w:val="24"/>
          <w:szCs w:val="24"/>
        </w:rPr>
        <w:t xml:space="preserve"> COMPONENTE 2 -SOTTOCOMPONENTE 1- INVESTIMENTO 1.1.- SUBIINVESTIMENTO 1.1.3 “RAFFORZARE I SERVIZI SOCIALI DOMICILIARI PER GARANTIRE UNA DIMISSIONE ASSISTITA PRECOCE E PREVENIRE IL RICOVERO IN OSPEDALE ”-</w:t>
      </w:r>
      <w:r>
        <w:rPr>
          <w:rFonts w:ascii="Garamond" w:hAnsi="Garamond"/>
          <w:color w:val="1F3864" w:themeColor="accent1" w:themeShade="80"/>
          <w:sz w:val="24"/>
          <w:szCs w:val="24"/>
        </w:rPr>
        <w:t xml:space="preserve">, identificato con  </w:t>
      </w:r>
      <w:r>
        <w:rPr>
          <w:rFonts w:ascii="Times New Roman" w:hAnsi="Times New Roman"/>
          <w:b/>
          <w:color w:val="1F3864" w:themeColor="accent1" w:themeShade="80"/>
          <w:sz w:val="24"/>
          <w:szCs w:val="24"/>
        </w:rPr>
        <w:t>CUP E34H22000360006</w:t>
      </w:r>
      <w:r>
        <w:rPr>
          <w:rFonts w:ascii="Garamond" w:hAnsi="Garamond"/>
          <w:color w:val="1F3864" w:themeColor="accent1" w:themeShade="80"/>
          <w:sz w:val="24"/>
          <w:szCs w:val="24"/>
        </w:rPr>
        <w:t xml:space="preserve"> per un importo totale pari a ………………………………. nell’ambito dell’intervento  </w:t>
      </w:r>
      <w:r>
        <w:rPr>
          <w:rFonts w:ascii="Times New Roman" w:hAnsi="Times New Roman"/>
          <w:b/>
          <w:color w:val="1F3864" w:themeColor="accent1" w:themeShade="80"/>
          <w:sz w:val="24"/>
          <w:szCs w:val="24"/>
        </w:rPr>
        <w:t>1.1.3 ““RAFFORZARE I SERVIZI SOCIALI DOMICILIARI PER GARANTIRE UNA DIMISSIONE ASSISTITA PRECOCE E PREVENIRE IL RICOVERO IN OSPEDALE ”-</w:t>
      </w:r>
      <w:r>
        <w:rPr>
          <w:rFonts w:ascii="Garamond" w:hAnsi="Garamond"/>
          <w:color w:val="1F3864" w:themeColor="accent1" w:themeShade="80"/>
          <w:sz w:val="24"/>
          <w:szCs w:val="24"/>
        </w:rPr>
        <w:t xml:space="preserve">, della Missione 5, Componente </w:t>
      </w:r>
      <w:r>
        <w:rPr>
          <w:rFonts w:ascii="Garamond" w:hAnsi="Garamond"/>
          <w:color w:val="1F3864" w:themeColor="accent1" w:themeShade="80"/>
          <w:sz w:val="24"/>
          <w:szCs w:val="24"/>
          <w:u w:val="single"/>
        </w:rPr>
        <w:t xml:space="preserve"> 2 </w:t>
      </w:r>
      <w:r>
        <w:rPr>
          <w:rFonts w:ascii="Garamond" w:hAnsi="Garamond"/>
          <w:color w:val="1F3864" w:themeColor="accent1" w:themeShade="80"/>
          <w:sz w:val="24"/>
          <w:szCs w:val="24"/>
        </w:rPr>
        <w:t>del PNRR;</w:t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TUTTO CIÒ PREMESSO</w:t>
      </w:r>
    </w:p>
    <w:p>
      <w:pPr>
        <w:pStyle w:val="Normal"/>
        <w:spacing w:lineRule="auto" w:line="276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il sottoscritto consapevole della responsabilità amministrative, civili e penali in cui incorre in caso di dichiarazioni mendaci, ai sensi e per gli effetti degli articoli 38, 47, 75 e 76 del decreto del Presidente della Repubblica 28 dicembre 2000 n. 445, con la presente</w:t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DICHIARA</w:t>
      </w:r>
    </w:p>
    <w:p>
      <w:pPr>
        <w:pStyle w:val="Normal"/>
        <w:spacing w:lineRule="auto" w:line="276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 l’intervento ricade, ove previsto, ai sensi della Circolare MEF 33/2022, nel Regime 2: “Mero rispetto del “do no significant harm”, non arrecare un danno significativo alle condizioni ambientali esistenti”;</w:t>
      </w:r>
    </w:p>
    <w:p>
      <w:pPr>
        <w:pStyle w:val="Normal"/>
        <w:spacing w:lineRule="auto" w:line="276"/>
        <w:ind w:left="360" w:hanging="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 l’intervento, a norma dell’articolo 17 del Regolamento (UE) 2020/852, non arreca danno significativo    agli obiettivi ambientali individuati nell’accordo di Parigi (Green Deal europeo). In particolare, non prevede nessuna delle seguenti attività:</w:t>
      </w:r>
    </w:p>
    <w:p>
      <w:pPr>
        <w:pStyle w:val="ListParagraph"/>
        <w:numPr>
          <w:ilvl w:val="0"/>
          <w:numId w:val="2"/>
        </w:numPr>
        <w:spacing w:lineRule="auto" w:line="276"/>
        <w:ind w:left="1276" w:hanging="36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attività connesse ai combustibili fossili, compreso l'uso a valle;</w:t>
      </w:r>
    </w:p>
    <w:p>
      <w:pPr>
        <w:pStyle w:val="ListParagraph"/>
        <w:numPr>
          <w:ilvl w:val="0"/>
          <w:numId w:val="2"/>
        </w:numPr>
        <w:spacing w:lineRule="auto" w:line="276"/>
        <w:ind w:left="1276" w:hanging="36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attività nell'ambito del sistema di scambio di quote di emissione dell'UE (ETS) che generano emissioni di gas a effetto serra previste non inferiori ai pertinenti parametri di riferimento;</w:t>
      </w:r>
    </w:p>
    <w:p>
      <w:pPr>
        <w:pStyle w:val="ListParagraph"/>
        <w:numPr>
          <w:ilvl w:val="0"/>
          <w:numId w:val="2"/>
        </w:numPr>
        <w:spacing w:lineRule="auto" w:line="276"/>
        <w:ind w:left="1276" w:hanging="36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attività connesse alle discariche di rifiuti, agli inceneritori;</w:t>
      </w:r>
    </w:p>
    <w:p>
      <w:pPr>
        <w:pStyle w:val="ListParagraph"/>
        <w:numPr>
          <w:ilvl w:val="0"/>
          <w:numId w:val="2"/>
        </w:numPr>
        <w:spacing w:lineRule="auto" w:line="276"/>
        <w:ind w:left="1276" w:hanging="36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attività connesse agli impianti di trattamento meccanico biologico;</w:t>
      </w:r>
    </w:p>
    <w:p>
      <w:pPr>
        <w:pStyle w:val="ListParagraph"/>
        <w:numPr>
          <w:ilvl w:val="0"/>
          <w:numId w:val="2"/>
        </w:numPr>
        <w:spacing w:lineRule="auto" w:line="276"/>
        <w:ind w:left="1276" w:hanging="36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attività nel cui ambito lo smaltimento a lungo termine dei rifiuti potrebbe causare un danno all'ambiente.</w:t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 l’intervento rispetta la normativa ambientale dell’UE e nazionale;</w:t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 nella fase di attuazione dei progetti (fase di predisposizione ed approvazione di un Avviso/Bando di gara, fase di stipula del contratto con il soggetto realizzatore, fase di esecuzione del contratto d’appalto), è garantita l’aderenza dei progetti agli orientamenti tecnici sull'applicazione del principio "non arrecare un danno significativo" (2021/C58/01), in quanto conformi alla Lista di esclusione e alle relative eccezioni;</w:t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 l’intervento rientra nel/nei seguenti casi (spuntare le opzioni pertinenti):</w:t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A) rispetta i vincoli DNSH, come verificato tramite compilazione delle allegate “Check-list per le verifiche e i controlli da condurre per garantire il principio DNSH”, parte integrante della presente dichiarazione:</w:t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Check-list 1: Costruzione di nuovi edifici;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Check-list 2: Ristrutturazione e riqualificazione di edifici residenziali e non residenziali;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Check-list 3: Acquisto, Leasing e Noleggio di computer e apparecchiature elettriche edelettroniche;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Check-list 4: Acquisto, Leasing, Noleggio di apparecchiature elettriche ed elettroniche utilizzate nel settore sanitario;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Check-list 5: Interventi edili e cantieristica generica non connessi con la costruzione/rinnovamento di edifici;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Check-list 6: Servizi informatici di hosting e cloud;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Check-list 8: Data center;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Check-list 9: Acquisto di veicoli.</w:t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B) rispetta i vincoli DNSH, in quanto conforme ai Criteri Ambientali Minimi (CAM) adottati con decreto _______________________del Ministro __________________________come individuati nelle Istruzioni operative DNSH del MLPS (la documentazione a sostegno di quanto dichiarato - i) Relazione per la verifica di conformità ai vincoli DNSH; ii) Relazione CAM; iii) Relazione tecnica - deve essere raccolta e conservata dal Soggetto attuatore)</w:t>
      </w:r>
      <w:r>
        <w:rPr>
          <w:rStyle w:val="Richiamoallanotaapidipagina"/>
          <w:rFonts w:ascii="Garamond" w:hAnsi="Garamond"/>
          <w:color w:val="1F3864" w:themeColor="accent1" w:themeShade="80"/>
          <w:sz w:val="24"/>
          <w:szCs w:val="24"/>
        </w:rPr>
        <w:footnoteReference w:id="2"/>
      </w:r>
      <w:r>
        <w:rPr>
          <w:rFonts w:ascii="Garamond" w:hAnsi="Garamond"/>
          <w:color w:val="1F3864" w:themeColor="accent1" w:themeShade="80"/>
          <w:sz w:val="24"/>
          <w:szCs w:val="24"/>
        </w:rPr>
        <w:t>.</w:t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Data</w:t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right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Firma del Legale rappresentante</w:t>
      </w:r>
      <w:r>
        <w:rPr>
          <w:rStyle w:val="Richiamoallanotaapidipagina"/>
          <w:rFonts w:ascii="Garamond" w:hAnsi="Garamond"/>
          <w:color w:val="1F3864" w:themeColor="accent1" w:themeShade="80"/>
          <w:sz w:val="24"/>
          <w:szCs w:val="24"/>
        </w:rPr>
        <w:footnoteReference w:id="3"/>
      </w:r>
    </w:p>
    <w:p>
      <w:pPr>
        <w:pStyle w:val="Normal"/>
        <w:spacing w:lineRule="auto" w:line="276" w:before="0" w:after="160"/>
        <w:jc w:val="right"/>
        <w:rPr>
          <w:rFonts w:ascii="Garamond" w:hAnsi="Garamond"/>
          <w:color w:val="1F3864" w:themeColor="accent1" w:themeShade="80"/>
          <w:sz w:val="24"/>
          <w:szCs w:val="24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aramond">
    <w:charset w:val="00"/>
    <w:family w:val="roman"/>
    <w:pitch w:val="variable"/>
  </w:font>
  <w:font w:name="Open Sans Light">
    <w:charset w:val="01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Verdana">
    <w:charset w:val="01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aapidipagina"/>
        <w:rPr>
          <w:rFonts w:ascii="Garamond" w:hAnsi="Garamond"/>
          <w:color w:val="1F3864" w:themeColor="accent1" w:themeShade="80"/>
        </w:rPr>
      </w:pPr>
      <w:r>
        <w:rPr>
          <w:rStyle w:val="Caratterinotaapidipagina"/>
        </w:rPr>
        <w:footnoteRef/>
      </w:r>
      <w:r>
        <w:rPr>
          <w:rFonts w:eastAsia="Times New Roman" w:cs="Times New Roman" w:ascii="Garamond" w:hAnsi="Garamond"/>
          <w:color w:val="1F3864" w:themeColor="accent1" w:themeShade="80"/>
          <w:sz w:val="18"/>
          <w:szCs w:val="18"/>
        </w:rPr>
        <w:t xml:space="preserve">La “sezione B” deve essere obbligatoriamente compilata nei casi di progetti per cui, nonostante fosse prevista la check-list DNSH da mappatura </w:t>
      </w:r>
      <w:r>
        <w:rPr>
          <w:rFonts w:eastAsia="Times New Roman" w:cs="Times New Roman" w:ascii="Garamond" w:hAnsi="Garamond"/>
          <w:i/>
          <w:iCs/>
          <w:color w:val="1F3864" w:themeColor="accent1" w:themeShade="80"/>
          <w:sz w:val="18"/>
          <w:szCs w:val="18"/>
        </w:rPr>
        <w:t>ex</w:t>
      </w:r>
      <w:r>
        <w:rPr>
          <w:rFonts w:eastAsia="Times New Roman" w:cs="Times New Roman" w:ascii="Garamond" w:hAnsi="Garamond"/>
          <w:color w:val="1F3864" w:themeColor="accent1" w:themeShade="80"/>
          <w:sz w:val="18"/>
          <w:szCs w:val="18"/>
        </w:rPr>
        <w:t xml:space="preserve"> Circolare MEF-RGS n. 32/2021, così come aggiornata e integrata dalla Circolare MEF-RGS n. 33/2022, la stessa non sia stata prodotta e caricata sul sistema ReGiS nella parte </w:t>
      </w:r>
      <w:r>
        <w:rPr>
          <w:rFonts w:eastAsia="Times New Roman" w:cs="Times New Roman" w:ascii="Garamond" w:hAnsi="Garamond"/>
          <w:i/>
          <w:iCs/>
          <w:color w:val="1F3864" w:themeColor="accent1" w:themeShade="80"/>
          <w:sz w:val="18"/>
          <w:szCs w:val="18"/>
        </w:rPr>
        <w:t>ex ante</w:t>
      </w:r>
      <w:r>
        <w:rPr>
          <w:rFonts w:eastAsia="Times New Roman" w:cs="Times New Roman" w:ascii="Garamond" w:hAnsi="Garamond"/>
          <w:color w:val="1F3864" w:themeColor="accent1" w:themeShade="80"/>
          <w:sz w:val="18"/>
          <w:szCs w:val="18"/>
        </w:rPr>
        <w:t>.</w:t>
      </w:r>
    </w:p>
  </w:footnote>
  <w:footnote w:id="3">
    <w:p>
      <w:pPr>
        <w:pStyle w:val="Notaapidipagina"/>
        <w:rPr/>
      </w:pPr>
      <w:r>
        <w:rPr>
          <w:rStyle w:val="Caratterinotaapidipagina"/>
        </w:rPr>
        <w:footnoteRef/>
      </w:r>
      <w:r>
        <w:rPr>
          <w:rFonts w:eastAsia="Times New Roman" w:cs="Times New Roman" w:ascii="Garamond" w:hAnsi="Garamond"/>
          <w:color w:val="1F3864" w:themeColor="accent1" w:themeShade="80"/>
          <w:sz w:val="18"/>
          <w:szCs w:val="18"/>
        </w:rPr>
        <w:t>La sottoscrizione della presente dichiarazione non è soggetta ad autenticazione seeffettuatainformadigitaleoseinviataunitamenteacopiafotostaticadiundocumentodiriconoscimentodelsottoscrittore,incorsodivalidità.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 Sans Light" w:hAnsi="Open Sans Light" w:cs="Open Sans Light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numFmt w:val="bullet"/>
      <w:lvlText w:val="□"/>
      <w:lvlJc w:val="left"/>
      <w:pPr>
        <w:tabs>
          <w:tab w:val="num" w:pos="0"/>
        </w:tabs>
        <w:ind w:left="1429" w:hanging="360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/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75363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semiHidden/>
    <w:qFormat/>
    <w:rsid w:val="00171699"/>
    <w:rPr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171699"/>
    <w:rPr>
      <w:vertAlign w:val="superscript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b059c"/>
    <w:pPr>
      <w:spacing w:before="0" w:after="160"/>
      <w:ind w:left="720" w:hanging="0"/>
      <w:contextualSpacing/>
    </w:pPr>
    <w:rPr/>
  </w:style>
  <w:style w:type="paragraph" w:styleId="Notaapidipagina">
    <w:name w:val="Footnote Text"/>
    <w:basedOn w:val="Normal"/>
    <w:link w:val="TestonotaapidipaginaCarattere"/>
    <w:uiPriority w:val="99"/>
    <w:semiHidden/>
    <w:unhideWhenUsed/>
    <w:rsid w:val="00171699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71F4F-D10A-429D-A9F5-92D281455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Application>LibreOffice/6.4.7.2$Windows_x86 LibreOffice_project/639b8ac485750d5696d7590a72ef1b496725cfb5</Application>
  <Pages>4</Pages>
  <Words>690</Words>
  <Characters>4489</Characters>
  <CharactersWithSpaces>5140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2024-02-16T11:57:00Z</dcterms:created>
  <dc:creator>Calenda Andrea</dc:creator>
  <dc:description/>
  <dc:language>it-IT</dc:language>
  <cp:lastModifiedBy/>
  <dcterms:modified xsi:type="dcterms:W3CDTF">2024-10-24T16:24:37Z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